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EF009" w14:textId="77777777" w:rsidR="004542AC" w:rsidRPr="00973E09" w:rsidRDefault="004542AC" w:rsidP="00E13E61">
      <w:pPr>
        <w:widowControl w:val="0"/>
        <w:autoSpaceDE w:val="0"/>
        <w:autoSpaceDN w:val="0"/>
        <w:adjustRightInd w:val="0"/>
        <w:rPr>
          <w:rFonts w:ascii="Arial" w:hAnsi="Arial" w:cs="Arial"/>
          <w:b/>
          <w:color w:val="000000"/>
          <w:u w:val="single"/>
        </w:rPr>
      </w:pPr>
      <w:r w:rsidRPr="00973E09">
        <w:rPr>
          <w:rFonts w:ascii="Arial" w:hAnsi="Arial" w:cs="Arial"/>
          <w:b/>
          <w:color w:val="000000"/>
          <w:u w:val="single"/>
        </w:rPr>
        <w:t>Title</w:t>
      </w:r>
    </w:p>
    <w:p w14:paraId="68FB4D01" w14:textId="77777777" w:rsidR="004542AC" w:rsidRPr="00973E09" w:rsidRDefault="004542AC" w:rsidP="00E13E61">
      <w:pPr>
        <w:widowControl w:val="0"/>
        <w:autoSpaceDE w:val="0"/>
        <w:autoSpaceDN w:val="0"/>
        <w:adjustRightInd w:val="0"/>
        <w:rPr>
          <w:rFonts w:ascii="Arial" w:hAnsi="Arial" w:cs="Arial"/>
          <w:b/>
          <w:color w:val="000000"/>
          <w:u w:val="single"/>
        </w:rPr>
      </w:pPr>
    </w:p>
    <w:p w14:paraId="0BC60100" w14:textId="2E13AD10"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Tranexamic Acid in Hip Fracture Surgery – </w:t>
      </w:r>
      <w:r w:rsidR="004F71AB">
        <w:rPr>
          <w:rFonts w:ascii="Arial" w:hAnsi="Arial" w:cs="Arial"/>
          <w:color w:val="000000"/>
        </w:rPr>
        <w:t>National</w:t>
      </w:r>
      <w:r w:rsidRPr="00973E09">
        <w:rPr>
          <w:rFonts w:ascii="Arial" w:hAnsi="Arial" w:cs="Arial"/>
          <w:color w:val="000000"/>
        </w:rPr>
        <w:t xml:space="preserve"> Audit</w:t>
      </w:r>
      <w:r w:rsidR="00D70DA9" w:rsidRPr="00973E09">
        <w:rPr>
          <w:rFonts w:ascii="Arial" w:hAnsi="Arial" w:cs="Arial"/>
          <w:color w:val="000000"/>
        </w:rPr>
        <w:t xml:space="preserve"> of Practice</w:t>
      </w:r>
    </w:p>
    <w:p w14:paraId="4621041D" w14:textId="77777777" w:rsidR="004542AC" w:rsidRPr="00973E09" w:rsidRDefault="004542AC" w:rsidP="00E13E61">
      <w:pPr>
        <w:widowControl w:val="0"/>
        <w:autoSpaceDE w:val="0"/>
        <w:autoSpaceDN w:val="0"/>
        <w:adjustRightInd w:val="0"/>
        <w:rPr>
          <w:rFonts w:ascii="Arial" w:hAnsi="Arial" w:cs="Arial"/>
          <w:b/>
          <w:bCs/>
          <w:color w:val="000000"/>
          <w:u w:val="single"/>
        </w:rPr>
      </w:pPr>
    </w:p>
    <w:p w14:paraId="7BA79F54" w14:textId="77777777" w:rsidR="004542AC" w:rsidRPr="00973E09" w:rsidRDefault="004542AC" w:rsidP="00E13E61">
      <w:pPr>
        <w:widowControl w:val="0"/>
        <w:autoSpaceDE w:val="0"/>
        <w:autoSpaceDN w:val="0"/>
        <w:adjustRightInd w:val="0"/>
        <w:rPr>
          <w:rFonts w:ascii="Arial" w:hAnsi="Arial" w:cs="Arial"/>
          <w:b/>
          <w:color w:val="000000"/>
          <w:u w:val="single"/>
        </w:rPr>
      </w:pPr>
      <w:r w:rsidRPr="00973E09">
        <w:rPr>
          <w:rFonts w:ascii="Arial" w:hAnsi="Arial" w:cs="Arial"/>
          <w:b/>
          <w:bCs/>
          <w:color w:val="000000"/>
          <w:u w:val="single"/>
        </w:rPr>
        <w:t xml:space="preserve">Background/Rationale </w:t>
      </w:r>
    </w:p>
    <w:p w14:paraId="68984EB4" w14:textId="77777777" w:rsidR="004542AC" w:rsidRPr="00973E09" w:rsidRDefault="004542AC" w:rsidP="00E13E61">
      <w:pPr>
        <w:widowControl w:val="0"/>
        <w:autoSpaceDE w:val="0"/>
        <w:autoSpaceDN w:val="0"/>
        <w:adjustRightInd w:val="0"/>
        <w:rPr>
          <w:rFonts w:ascii="Arial" w:hAnsi="Arial" w:cs="Arial"/>
          <w:color w:val="000000"/>
        </w:rPr>
      </w:pPr>
    </w:p>
    <w:p w14:paraId="36102C87"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Hip fractures are associated with significant morbidity and mortality. A number of strategies have been introduced to try and improve outcomes (National Hip Fracture Database, Best P</w:t>
      </w:r>
      <w:r w:rsidR="00D70DA9" w:rsidRPr="00973E09">
        <w:rPr>
          <w:rFonts w:ascii="Arial" w:hAnsi="Arial" w:cs="Arial"/>
          <w:color w:val="000000"/>
        </w:rPr>
        <w:t>ractice Tariff, local protocols and procedures</w:t>
      </w:r>
      <w:r w:rsidRPr="00973E09">
        <w:rPr>
          <w:rFonts w:ascii="Arial" w:hAnsi="Arial" w:cs="Arial"/>
          <w:color w:val="000000"/>
        </w:rPr>
        <w:t xml:space="preserve">). </w:t>
      </w:r>
    </w:p>
    <w:p w14:paraId="2589086B" w14:textId="77777777" w:rsidR="00803A2D" w:rsidRPr="00973E09" w:rsidRDefault="00803A2D" w:rsidP="00E13E61">
      <w:pPr>
        <w:widowControl w:val="0"/>
        <w:autoSpaceDE w:val="0"/>
        <w:autoSpaceDN w:val="0"/>
        <w:adjustRightInd w:val="0"/>
        <w:rPr>
          <w:rFonts w:ascii="Arial" w:hAnsi="Arial" w:cs="Arial"/>
          <w:color w:val="000000"/>
        </w:rPr>
      </w:pPr>
    </w:p>
    <w:p w14:paraId="1514AE64" w14:textId="77777777" w:rsidR="00D70DA9"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Anaemia </w:t>
      </w:r>
      <w:r w:rsidR="00D70DA9" w:rsidRPr="00973E09">
        <w:rPr>
          <w:rFonts w:ascii="Arial" w:hAnsi="Arial" w:cs="Arial"/>
          <w:color w:val="000000"/>
        </w:rPr>
        <w:t>is linked with mortality in patients following a hip fracture. A low haemoglobin is one of the variables used in calculating the Nottingham Hip Fracture S</w:t>
      </w:r>
      <w:r w:rsidRPr="00973E09">
        <w:rPr>
          <w:rFonts w:ascii="Arial" w:hAnsi="Arial" w:cs="Arial"/>
          <w:color w:val="000000"/>
        </w:rPr>
        <w:t>core</w:t>
      </w:r>
      <w:r w:rsidR="00D70DA9" w:rsidRPr="00973E09">
        <w:rPr>
          <w:rFonts w:ascii="Arial" w:hAnsi="Arial" w:cs="Arial"/>
          <w:color w:val="000000"/>
        </w:rPr>
        <w:t xml:space="preserve">, a score used to predict mortality following </w:t>
      </w:r>
      <w:r w:rsidR="00A32911" w:rsidRPr="00973E09">
        <w:rPr>
          <w:rFonts w:ascii="Arial" w:hAnsi="Arial" w:cs="Arial"/>
          <w:color w:val="000000"/>
        </w:rPr>
        <w:t xml:space="preserve">a </w:t>
      </w:r>
      <w:r w:rsidR="00D70DA9" w:rsidRPr="00973E09">
        <w:rPr>
          <w:rFonts w:ascii="Arial" w:hAnsi="Arial" w:cs="Arial"/>
          <w:color w:val="000000"/>
        </w:rPr>
        <w:t>hip fracture.</w:t>
      </w:r>
    </w:p>
    <w:p w14:paraId="5572EAAC" w14:textId="77777777" w:rsidR="00D70DA9" w:rsidRPr="00973E09" w:rsidRDefault="00D70DA9" w:rsidP="00E13E61">
      <w:pPr>
        <w:widowControl w:val="0"/>
        <w:autoSpaceDE w:val="0"/>
        <w:autoSpaceDN w:val="0"/>
        <w:adjustRightInd w:val="0"/>
        <w:rPr>
          <w:rFonts w:ascii="Arial" w:hAnsi="Arial" w:cs="Arial"/>
          <w:color w:val="000000"/>
        </w:rPr>
      </w:pPr>
    </w:p>
    <w:p w14:paraId="34A1B91A" w14:textId="1F9EA948" w:rsidR="004542AC" w:rsidRPr="00973E09" w:rsidRDefault="00D70DA9" w:rsidP="00E13E61">
      <w:pPr>
        <w:widowControl w:val="0"/>
        <w:autoSpaceDE w:val="0"/>
        <w:autoSpaceDN w:val="0"/>
        <w:adjustRightInd w:val="0"/>
        <w:rPr>
          <w:rFonts w:ascii="Arial" w:hAnsi="Arial" w:cs="Arial"/>
          <w:color w:val="000000"/>
        </w:rPr>
      </w:pPr>
      <w:r w:rsidRPr="00973E09">
        <w:rPr>
          <w:rFonts w:ascii="Arial" w:hAnsi="Arial" w:cs="Arial"/>
          <w:color w:val="000000"/>
        </w:rPr>
        <w:t>T</w:t>
      </w:r>
      <w:r w:rsidR="004542AC" w:rsidRPr="00973E09">
        <w:rPr>
          <w:rFonts w:ascii="Arial" w:hAnsi="Arial" w:cs="Arial"/>
          <w:color w:val="000000"/>
        </w:rPr>
        <w:t>ransfusion</w:t>
      </w:r>
      <w:r w:rsidRPr="00973E09">
        <w:rPr>
          <w:rFonts w:ascii="Arial" w:hAnsi="Arial" w:cs="Arial"/>
          <w:color w:val="000000"/>
        </w:rPr>
        <w:t xml:space="preserve"> of blood products, however, is associated not only </w:t>
      </w:r>
      <w:r w:rsidR="00973E09" w:rsidRPr="00973E09">
        <w:rPr>
          <w:rFonts w:ascii="Arial" w:hAnsi="Arial" w:cs="Arial"/>
          <w:color w:val="000000"/>
        </w:rPr>
        <w:t xml:space="preserve">with </w:t>
      </w:r>
      <w:r w:rsidRPr="00973E09">
        <w:rPr>
          <w:rFonts w:ascii="Arial" w:hAnsi="Arial" w:cs="Arial"/>
          <w:color w:val="000000"/>
        </w:rPr>
        <w:t xml:space="preserve">cost but also </w:t>
      </w:r>
      <w:r w:rsidR="004542AC" w:rsidRPr="00973E09">
        <w:rPr>
          <w:rFonts w:ascii="Arial" w:hAnsi="Arial" w:cs="Arial"/>
          <w:color w:val="000000"/>
        </w:rPr>
        <w:t>morbidity</w:t>
      </w:r>
      <w:r w:rsidRPr="00973E09">
        <w:rPr>
          <w:rFonts w:ascii="Arial" w:hAnsi="Arial" w:cs="Arial"/>
          <w:color w:val="000000"/>
        </w:rPr>
        <w:t xml:space="preserve"> and therefore </w:t>
      </w:r>
      <w:r w:rsidR="00A32911" w:rsidRPr="00973E09">
        <w:rPr>
          <w:rFonts w:ascii="Arial" w:hAnsi="Arial" w:cs="Arial"/>
          <w:color w:val="000000"/>
        </w:rPr>
        <w:t>should not be undertaken lightly.</w:t>
      </w:r>
    </w:p>
    <w:p w14:paraId="3B46F482" w14:textId="77777777" w:rsidR="00803A2D" w:rsidRPr="00973E09" w:rsidRDefault="00803A2D" w:rsidP="00E13E61">
      <w:pPr>
        <w:widowControl w:val="0"/>
        <w:autoSpaceDE w:val="0"/>
        <w:autoSpaceDN w:val="0"/>
        <w:adjustRightInd w:val="0"/>
        <w:rPr>
          <w:rFonts w:ascii="Arial" w:hAnsi="Arial" w:cs="Arial"/>
          <w:color w:val="000000"/>
        </w:rPr>
      </w:pPr>
    </w:p>
    <w:p w14:paraId="2C1F05CE" w14:textId="3F97E67C" w:rsidR="00A32911" w:rsidRPr="00973E09" w:rsidRDefault="00A32911"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Alternative methods of reducing blood loss and </w:t>
      </w:r>
      <w:r w:rsidR="00973E09" w:rsidRPr="00973E09">
        <w:rPr>
          <w:rFonts w:ascii="Arial" w:hAnsi="Arial" w:cs="Arial"/>
          <w:color w:val="000000"/>
        </w:rPr>
        <w:t>as a result</w:t>
      </w:r>
      <w:r w:rsidRPr="00973E09">
        <w:rPr>
          <w:rFonts w:ascii="Arial" w:hAnsi="Arial" w:cs="Arial"/>
          <w:color w:val="000000"/>
        </w:rPr>
        <w:t xml:space="preserve"> anaemia and the need for transfusion</w:t>
      </w:r>
      <w:r w:rsidR="006E26B5">
        <w:rPr>
          <w:rFonts w:ascii="Arial" w:hAnsi="Arial" w:cs="Arial"/>
          <w:color w:val="000000"/>
        </w:rPr>
        <w:t>,</w:t>
      </w:r>
      <w:r w:rsidRPr="00973E09">
        <w:rPr>
          <w:rFonts w:ascii="Arial" w:hAnsi="Arial" w:cs="Arial"/>
          <w:color w:val="000000"/>
        </w:rPr>
        <w:t xml:space="preserve"> is therefore desirable.</w:t>
      </w:r>
    </w:p>
    <w:p w14:paraId="3D2E7CDD" w14:textId="77777777" w:rsidR="00A32911" w:rsidRPr="00973E09" w:rsidRDefault="00A32911" w:rsidP="00E13E61">
      <w:pPr>
        <w:widowControl w:val="0"/>
        <w:autoSpaceDE w:val="0"/>
        <w:autoSpaceDN w:val="0"/>
        <w:adjustRightInd w:val="0"/>
        <w:rPr>
          <w:rFonts w:ascii="Arial" w:hAnsi="Arial" w:cs="Arial"/>
          <w:color w:val="000000"/>
        </w:rPr>
      </w:pPr>
    </w:p>
    <w:p w14:paraId="3B78F9A3" w14:textId="4E6991D7" w:rsidR="00A32911" w:rsidRPr="00973E09" w:rsidRDefault="00A32911" w:rsidP="00E13E61">
      <w:pPr>
        <w:widowControl w:val="0"/>
        <w:autoSpaceDE w:val="0"/>
        <w:autoSpaceDN w:val="0"/>
        <w:adjustRightInd w:val="0"/>
        <w:rPr>
          <w:rFonts w:ascii="Arial" w:hAnsi="Arial" w:cs="Arial"/>
          <w:color w:val="000000"/>
        </w:rPr>
      </w:pPr>
      <w:r w:rsidRPr="00973E09">
        <w:rPr>
          <w:rFonts w:ascii="Arial" w:hAnsi="Arial" w:cs="Arial"/>
          <w:color w:val="000000"/>
        </w:rPr>
        <w:t>Tranexamic acid has been shown to reduce blood loss and reduce the n</w:t>
      </w:r>
      <w:r w:rsidR="00973E09" w:rsidRPr="00973E09">
        <w:rPr>
          <w:rFonts w:ascii="Arial" w:hAnsi="Arial" w:cs="Arial"/>
          <w:color w:val="000000"/>
        </w:rPr>
        <w:t>eed for transfusions</w:t>
      </w:r>
      <w:r w:rsidR="006E26B5">
        <w:rPr>
          <w:rFonts w:ascii="Arial" w:hAnsi="Arial" w:cs="Arial"/>
          <w:color w:val="000000"/>
        </w:rPr>
        <w:t>,</w:t>
      </w:r>
      <w:r w:rsidR="00973E09" w:rsidRPr="00973E09">
        <w:rPr>
          <w:rFonts w:ascii="Arial" w:hAnsi="Arial" w:cs="Arial"/>
          <w:color w:val="000000"/>
        </w:rPr>
        <w:t xml:space="preserve"> without an</w:t>
      </w:r>
      <w:r w:rsidRPr="00973E09">
        <w:rPr>
          <w:rFonts w:ascii="Arial" w:hAnsi="Arial" w:cs="Arial"/>
          <w:color w:val="000000"/>
        </w:rPr>
        <w:t xml:space="preserve"> increase in complications</w:t>
      </w:r>
      <w:r w:rsidR="006E26B5">
        <w:rPr>
          <w:rFonts w:ascii="Arial" w:hAnsi="Arial" w:cs="Arial"/>
          <w:color w:val="000000"/>
        </w:rPr>
        <w:t>,</w:t>
      </w:r>
      <w:r w:rsidRPr="00973E09">
        <w:rPr>
          <w:rFonts w:ascii="Arial" w:hAnsi="Arial" w:cs="Arial"/>
          <w:color w:val="000000"/>
        </w:rPr>
        <w:t xml:space="preserve"> in s</w:t>
      </w:r>
      <w:r w:rsidR="004542AC" w:rsidRPr="00973E09">
        <w:rPr>
          <w:rFonts w:ascii="Arial" w:hAnsi="Arial" w:cs="Arial"/>
          <w:color w:val="000000"/>
        </w:rPr>
        <w:t xml:space="preserve">everal </w:t>
      </w:r>
      <w:r w:rsidRPr="00973E09">
        <w:rPr>
          <w:rFonts w:ascii="Arial" w:hAnsi="Arial" w:cs="Arial"/>
          <w:color w:val="000000"/>
        </w:rPr>
        <w:t xml:space="preserve">independent studies investigating its use in patients undergoing </w:t>
      </w:r>
      <w:r w:rsidR="00973E09" w:rsidRPr="00973E09">
        <w:rPr>
          <w:rFonts w:ascii="Arial" w:hAnsi="Arial" w:cs="Arial"/>
          <w:color w:val="000000"/>
        </w:rPr>
        <w:t>surgery for</w:t>
      </w:r>
      <w:r w:rsidRPr="00973E09">
        <w:rPr>
          <w:rFonts w:ascii="Arial" w:hAnsi="Arial" w:cs="Arial"/>
          <w:color w:val="000000"/>
        </w:rPr>
        <w:t xml:space="preserve"> hip fractures. Two systematic reviews of these studies have shown similar conclusions. </w:t>
      </w:r>
    </w:p>
    <w:p w14:paraId="2B0DA367" w14:textId="77777777" w:rsidR="00A32911" w:rsidRPr="00973E09" w:rsidRDefault="00A32911" w:rsidP="00E13E61">
      <w:pPr>
        <w:widowControl w:val="0"/>
        <w:autoSpaceDE w:val="0"/>
        <w:autoSpaceDN w:val="0"/>
        <w:adjustRightInd w:val="0"/>
        <w:rPr>
          <w:rFonts w:ascii="Arial" w:hAnsi="Arial" w:cs="Arial"/>
          <w:color w:val="000000"/>
        </w:rPr>
      </w:pPr>
    </w:p>
    <w:p w14:paraId="4542814E" w14:textId="77777777" w:rsidR="004542AC" w:rsidRPr="00973E09" w:rsidRDefault="00A32911" w:rsidP="00E13E61">
      <w:pPr>
        <w:widowControl w:val="0"/>
        <w:autoSpaceDE w:val="0"/>
        <w:autoSpaceDN w:val="0"/>
        <w:adjustRightInd w:val="0"/>
        <w:rPr>
          <w:rFonts w:ascii="Arial" w:hAnsi="Arial" w:cs="Arial"/>
          <w:color w:val="000000"/>
        </w:rPr>
      </w:pPr>
      <w:r w:rsidRPr="00973E09">
        <w:rPr>
          <w:rFonts w:ascii="Arial" w:hAnsi="Arial" w:cs="Arial"/>
          <w:color w:val="000000"/>
        </w:rPr>
        <w:t>Tranexamic acid is cheap and widely available. It is now commonly used in orthopaedic procedures, such as joint replacement surgery, and there are many publications reporting its effectiveness in reducing blood loss.</w:t>
      </w:r>
    </w:p>
    <w:p w14:paraId="236773D7" w14:textId="77777777" w:rsidR="00803A2D" w:rsidRPr="00973E09" w:rsidRDefault="00803A2D" w:rsidP="00E13E61">
      <w:pPr>
        <w:widowControl w:val="0"/>
        <w:autoSpaceDE w:val="0"/>
        <w:autoSpaceDN w:val="0"/>
        <w:adjustRightInd w:val="0"/>
        <w:rPr>
          <w:rFonts w:ascii="Arial" w:hAnsi="Arial" w:cs="Arial"/>
          <w:color w:val="000000"/>
        </w:rPr>
      </w:pPr>
    </w:p>
    <w:p w14:paraId="52D3C52A" w14:textId="0F0B6C9C" w:rsidR="004542AC" w:rsidRPr="00973E09" w:rsidRDefault="00A32911" w:rsidP="00E13E61">
      <w:pPr>
        <w:widowControl w:val="0"/>
        <w:autoSpaceDE w:val="0"/>
        <w:autoSpaceDN w:val="0"/>
        <w:adjustRightInd w:val="0"/>
        <w:rPr>
          <w:rFonts w:ascii="Arial" w:hAnsi="Arial" w:cs="Arial"/>
          <w:color w:val="000000"/>
        </w:rPr>
      </w:pPr>
      <w:r w:rsidRPr="00973E09">
        <w:rPr>
          <w:rFonts w:ascii="Arial" w:hAnsi="Arial" w:cs="Arial"/>
          <w:color w:val="000000"/>
        </w:rPr>
        <w:t>Despite this evidence, anecdotally, the use of Tranexamic acid has not been widely introduced into the management of patients undergoing surgery for hip fractures. A local audit in Stepping Hill Hospital</w:t>
      </w:r>
      <w:r w:rsidR="004F71AB">
        <w:rPr>
          <w:rFonts w:ascii="Arial" w:hAnsi="Arial" w:cs="Arial"/>
          <w:color w:val="000000"/>
        </w:rPr>
        <w:t>, Stockport,</w:t>
      </w:r>
      <w:r w:rsidRPr="00973E09">
        <w:rPr>
          <w:rFonts w:ascii="Arial" w:hAnsi="Arial" w:cs="Arial"/>
          <w:color w:val="000000"/>
        </w:rPr>
        <w:t xml:space="preserve"> showed only around 25% of patients undergoing surgery for a hip fracture received peri-operative Tranexamic acid.</w:t>
      </w:r>
      <w:r w:rsidR="00FA5135" w:rsidRPr="00973E09">
        <w:rPr>
          <w:rFonts w:ascii="Arial" w:hAnsi="Arial" w:cs="Arial"/>
          <w:color w:val="000000"/>
        </w:rPr>
        <w:t xml:space="preserve"> We wish to quantify the use of Tranexamic acid in patients undergoing surgery for hip fractures </w:t>
      </w:r>
      <w:r w:rsidR="004F71AB">
        <w:rPr>
          <w:rFonts w:ascii="Arial" w:hAnsi="Arial" w:cs="Arial"/>
          <w:color w:val="000000"/>
        </w:rPr>
        <w:t>nationally</w:t>
      </w:r>
      <w:r w:rsidR="00FA5135" w:rsidRPr="00973E09">
        <w:rPr>
          <w:rFonts w:ascii="Arial" w:hAnsi="Arial" w:cs="Arial"/>
          <w:color w:val="000000"/>
        </w:rPr>
        <w:t>.</w:t>
      </w:r>
    </w:p>
    <w:p w14:paraId="213FAFBB" w14:textId="77777777" w:rsidR="00A32911" w:rsidRPr="00973E09" w:rsidRDefault="00A32911" w:rsidP="00E13E61">
      <w:pPr>
        <w:widowControl w:val="0"/>
        <w:autoSpaceDE w:val="0"/>
        <w:autoSpaceDN w:val="0"/>
        <w:adjustRightInd w:val="0"/>
        <w:rPr>
          <w:rFonts w:ascii="Arial" w:hAnsi="Arial" w:cs="Arial"/>
          <w:b/>
          <w:color w:val="000000"/>
          <w:u w:val="single"/>
        </w:rPr>
      </w:pPr>
    </w:p>
    <w:p w14:paraId="234559C0" w14:textId="77777777" w:rsidR="004542AC" w:rsidRPr="00973E09" w:rsidRDefault="004542AC" w:rsidP="00E13E61">
      <w:pPr>
        <w:widowControl w:val="0"/>
        <w:autoSpaceDE w:val="0"/>
        <w:autoSpaceDN w:val="0"/>
        <w:adjustRightInd w:val="0"/>
        <w:rPr>
          <w:rFonts w:ascii="Arial" w:hAnsi="Arial" w:cs="Arial"/>
          <w:b/>
          <w:bCs/>
          <w:color w:val="000000"/>
          <w:u w:val="single"/>
        </w:rPr>
      </w:pPr>
      <w:r w:rsidRPr="00973E09">
        <w:rPr>
          <w:rFonts w:ascii="Arial" w:hAnsi="Arial" w:cs="Arial"/>
          <w:b/>
          <w:color w:val="000000"/>
          <w:u w:val="single"/>
        </w:rPr>
        <w:t>Aims / Objectives</w:t>
      </w:r>
    </w:p>
    <w:p w14:paraId="3690D2CC" w14:textId="77777777" w:rsidR="004542AC" w:rsidRPr="00973E09" w:rsidRDefault="004542AC" w:rsidP="00E13E61">
      <w:pPr>
        <w:widowControl w:val="0"/>
        <w:autoSpaceDE w:val="0"/>
        <w:autoSpaceDN w:val="0"/>
        <w:adjustRightInd w:val="0"/>
        <w:rPr>
          <w:rFonts w:ascii="Arial" w:hAnsi="Arial" w:cs="Arial"/>
          <w:bCs/>
          <w:color w:val="000000"/>
        </w:rPr>
      </w:pPr>
    </w:p>
    <w:p w14:paraId="6CF3B0DA" w14:textId="77777777" w:rsidR="00FA5135" w:rsidRPr="00973E09" w:rsidRDefault="004542AC" w:rsidP="00E13E61">
      <w:pPr>
        <w:widowControl w:val="0"/>
        <w:autoSpaceDE w:val="0"/>
        <w:autoSpaceDN w:val="0"/>
        <w:adjustRightInd w:val="0"/>
        <w:rPr>
          <w:rFonts w:ascii="Arial" w:hAnsi="Arial" w:cs="Arial"/>
          <w:bCs/>
          <w:color w:val="000000"/>
        </w:rPr>
      </w:pPr>
      <w:r w:rsidRPr="00973E09">
        <w:rPr>
          <w:rFonts w:ascii="Arial" w:hAnsi="Arial" w:cs="Arial"/>
          <w:bCs/>
          <w:color w:val="000000"/>
        </w:rPr>
        <w:t>Aim:</w:t>
      </w:r>
      <w:r w:rsidR="00803A2D" w:rsidRPr="00973E09">
        <w:rPr>
          <w:rFonts w:ascii="Arial" w:hAnsi="Arial" w:cs="Arial"/>
          <w:bCs/>
          <w:color w:val="000000"/>
        </w:rPr>
        <w:t xml:space="preserve"> </w:t>
      </w:r>
    </w:p>
    <w:p w14:paraId="5BD485BE" w14:textId="77777777" w:rsidR="00FA5135" w:rsidRPr="00973E09" w:rsidRDefault="00FA5135" w:rsidP="00E13E61">
      <w:pPr>
        <w:widowControl w:val="0"/>
        <w:autoSpaceDE w:val="0"/>
        <w:autoSpaceDN w:val="0"/>
        <w:adjustRightInd w:val="0"/>
        <w:rPr>
          <w:rFonts w:ascii="Arial" w:hAnsi="Arial" w:cs="Arial"/>
          <w:bCs/>
          <w:color w:val="000000"/>
        </w:rPr>
      </w:pPr>
    </w:p>
    <w:p w14:paraId="031BAF41" w14:textId="77777777" w:rsidR="00803A2D" w:rsidRPr="00973E09" w:rsidRDefault="00803A2D" w:rsidP="00E13E61">
      <w:pPr>
        <w:widowControl w:val="0"/>
        <w:autoSpaceDE w:val="0"/>
        <w:autoSpaceDN w:val="0"/>
        <w:adjustRightInd w:val="0"/>
        <w:rPr>
          <w:rFonts w:ascii="Arial" w:hAnsi="Arial" w:cs="Arial"/>
          <w:bCs/>
          <w:color w:val="000000"/>
        </w:rPr>
      </w:pPr>
      <w:r w:rsidRPr="00973E09">
        <w:rPr>
          <w:rFonts w:ascii="Arial" w:hAnsi="Arial" w:cs="Arial"/>
          <w:bCs/>
          <w:color w:val="000000"/>
        </w:rPr>
        <w:t>To assess if patients undergoing surgery for</w:t>
      </w:r>
      <w:r w:rsidR="00FA5135" w:rsidRPr="00973E09">
        <w:rPr>
          <w:rFonts w:ascii="Arial" w:hAnsi="Arial" w:cs="Arial"/>
          <w:bCs/>
          <w:color w:val="000000"/>
        </w:rPr>
        <w:t xml:space="preserve"> a neck of femur fracture</w:t>
      </w:r>
      <w:r w:rsidRPr="00973E09">
        <w:rPr>
          <w:rFonts w:ascii="Arial" w:hAnsi="Arial" w:cs="Arial"/>
          <w:bCs/>
          <w:color w:val="000000"/>
        </w:rPr>
        <w:t xml:space="preserve"> are receiving peri-operative Tranexamic acid.</w:t>
      </w:r>
    </w:p>
    <w:p w14:paraId="581F134C" w14:textId="77777777" w:rsidR="004542AC" w:rsidRPr="00973E09" w:rsidRDefault="004542AC" w:rsidP="00E13E61">
      <w:pPr>
        <w:widowControl w:val="0"/>
        <w:autoSpaceDE w:val="0"/>
        <w:autoSpaceDN w:val="0"/>
        <w:adjustRightInd w:val="0"/>
        <w:rPr>
          <w:rFonts w:ascii="Arial" w:hAnsi="Arial" w:cs="Arial"/>
          <w:bCs/>
          <w:color w:val="000000"/>
        </w:rPr>
      </w:pPr>
    </w:p>
    <w:p w14:paraId="3B343DC7" w14:textId="77777777" w:rsidR="00FA5135" w:rsidRPr="00973E09" w:rsidRDefault="004542AC" w:rsidP="00E13E61">
      <w:pPr>
        <w:widowControl w:val="0"/>
        <w:autoSpaceDE w:val="0"/>
        <w:autoSpaceDN w:val="0"/>
        <w:adjustRightInd w:val="0"/>
        <w:rPr>
          <w:rFonts w:ascii="Arial" w:hAnsi="Arial" w:cs="Arial"/>
          <w:bCs/>
          <w:color w:val="000000"/>
        </w:rPr>
      </w:pPr>
      <w:r w:rsidRPr="00973E09">
        <w:rPr>
          <w:rFonts w:ascii="Arial" w:hAnsi="Arial" w:cs="Arial"/>
          <w:bCs/>
          <w:color w:val="000000"/>
        </w:rPr>
        <w:t>Objective:</w:t>
      </w:r>
      <w:r w:rsidR="00FA5135" w:rsidRPr="00973E09">
        <w:rPr>
          <w:rFonts w:ascii="Arial" w:hAnsi="Arial" w:cs="Arial"/>
          <w:bCs/>
          <w:color w:val="000000"/>
        </w:rPr>
        <w:t xml:space="preserve"> </w:t>
      </w:r>
    </w:p>
    <w:p w14:paraId="5E32CCBD" w14:textId="77777777" w:rsidR="00FA5135" w:rsidRPr="00973E09" w:rsidRDefault="00FA5135" w:rsidP="00E13E61">
      <w:pPr>
        <w:widowControl w:val="0"/>
        <w:autoSpaceDE w:val="0"/>
        <w:autoSpaceDN w:val="0"/>
        <w:adjustRightInd w:val="0"/>
        <w:rPr>
          <w:rFonts w:ascii="Arial" w:hAnsi="Arial" w:cs="Arial"/>
          <w:bCs/>
          <w:color w:val="000000"/>
        </w:rPr>
      </w:pPr>
    </w:p>
    <w:p w14:paraId="5DE55982" w14:textId="77777777" w:rsidR="004542AC" w:rsidRPr="00973E09" w:rsidRDefault="00FA5135" w:rsidP="00E13E61">
      <w:pPr>
        <w:widowControl w:val="0"/>
        <w:autoSpaceDE w:val="0"/>
        <w:autoSpaceDN w:val="0"/>
        <w:adjustRightInd w:val="0"/>
        <w:rPr>
          <w:rFonts w:ascii="Arial" w:hAnsi="Arial" w:cs="Arial"/>
          <w:color w:val="000000"/>
        </w:rPr>
      </w:pPr>
      <w:r w:rsidRPr="00973E09">
        <w:rPr>
          <w:rFonts w:ascii="Arial" w:hAnsi="Arial" w:cs="Arial"/>
          <w:bCs/>
          <w:color w:val="000000"/>
        </w:rPr>
        <w:t>To improve the administration of peri-operative tranexamic acid in patients undergoing surgery for a neck of femur fracture (if required) and to improve outcomes (if possible).</w:t>
      </w:r>
    </w:p>
    <w:p w14:paraId="42A7AAD1" w14:textId="77777777" w:rsidR="004542AC" w:rsidRPr="00973E09" w:rsidRDefault="004542AC" w:rsidP="00E13E61">
      <w:pPr>
        <w:widowControl w:val="0"/>
        <w:autoSpaceDE w:val="0"/>
        <w:autoSpaceDN w:val="0"/>
        <w:adjustRightInd w:val="0"/>
        <w:rPr>
          <w:rFonts w:ascii="Arial" w:hAnsi="Arial" w:cs="Arial"/>
          <w:b/>
          <w:color w:val="000000"/>
          <w:u w:val="single"/>
        </w:rPr>
      </w:pPr>
    </w:p>
    <w:p w14:paraId="3550DE8E" w14:textId="77777777" w:rsidR="00FA5135" w:rsidRPr="00973E09" w:rsidRDefault="00FA5135" w:rsidP="00E13E61">
      <w:pPr>
        <w:widowControl w:val="0"/>
        <w:autoSpaceDE w:val="0"/>
        <w:autoSpaceDN w:val="0"/>
        <w:adjustRightInd w:val="0"/>
        <w:rPr>
          <w:rFonts w:ascii="Arial" w:hAnsi="Arial" w:cs="Arial"/>
          <w:b/>
          <w:color w:val="000000"/>
          <w:u w:val="single"/>
        </w:rPr>
      </w:pPr>
    </w:p>
    <w:p w14:paraId="7A76C420" w14:textId="77777777" w:rsidR="004542AC" w:rsidRPr="00973E09" w:rsidRDefault="004542AC" w:rsidP="00E13E61">
      <w:pPr>
        <w:widowControl w:val="0"/>
        <w:autoSpaceDE w:val="0"/>
        <w:autoSpaceDN w:val="0"/>
        <w:adjustRightInd w:val="0"/>
        <w:rPr>
          <w:rFonts w:ascii="Arial" w:hAnsi="Arial" w:cs="Arial"/>
          <w:b/>
          <w:bCs/>
          <w:color w:val="000000"/>
          <w:u w:val="single"/>
        </w:rPr>
      </w:pPr>
      <w:r w:rsidRPr="00973E09">
        <w:rPr>
          <w:rFonts w:ascii="Arial" w:hAnsi="Arial" w:cs="Arial"/>
          <w:b/>
          <w:color w:val="000000"/>
          <w:u w:val="single"/>
        </w:rPr>
        <w:lastRenderedPageBreak/>
        <w:t>Source of Standards</w:t>
      </w:r>
    </w:p>
    <w:p w14:paraId="394EF7F6" w14:textId="77777777" w:rsidR="004542AC" w:rsidRPr="00973E09" w:rsidRDefault="004542AC" w:rsidP="00E13E61">
      <w:pPr>
        <w:widowControl w:val="0"/>
        <w:autoSpaceDE w:val="0"/>
        <w:autoSpaceDN w:val="0"/>
        <w:adjustRightInd w:val="0"/>
        <w:rPr>
          <w:rFonts w:ascii="Arial" w:hAnsi="Arial" w:cs="Arial"/>
          <w:color w:val="000000"/>
        </w:rPr>
      </w:pPr>
    </w:p>
    <w:p w14:paraId="258B676B"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The standards are based on the results of published literature. </w:t>
      </w:r>
    </w:p>
    <w:p w14:paraId="700B3F8C" w14:textId="77777777" w:rsidR="004542AC" w:rsidRPr="00973E09" w:rsidRDefault="004542AC" w:rsidP="00E13E61">
      <w:pPr>
        <w:widowControl w:val="0"/>
        <w:autoSpaceDE w:val="0"/>
        <w:autoSpaceDN w:val="0"/>
        <w:adjustRightInd w:val="0"/>
        <w:rPr>
          <w:rFonts w:ascii="Arial" w:hAnsi="Arial" w:cs="Arial"/>
          <w:color w:val="000000"/>
        </w:rPr>
      </w:pPr>
    </w:p>
    <w:p w14:paraId="7A91C93A" w14:textId="77777777" w:rsidR="00462692" w:rsidRPr="00973E09" w:rsidRDefault="00462692"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The </w:t>
      </w:r>
      <w:r w:rsidR="00803A2D" w:rsidRPr="00973E09">
        <w:rPr>
          <w:rFonts w:ascii="Arial" w:hAnsi="Arial" w:cs="Arial"/>
          <w:color w:val="000000"/>
        </w:rPr>
        <w:t>references for the most relevant</w:t>
      </w:r>
      <w:r w:rsidRPr="00973E09">
        <w:rPr>
          <w:rFonts w:ascii="Arial" w:hAnsi="Arial" w:cs="Arial"/>
          <w:color w:val="000000"/>
        </w:rPr>
        <w:t xml:space="preserve"> literature</w:t>
      </w:r>
      <w:r w:rsidR="00803A2D" w:rsidRPr="00973E09">
        <w:rPr>
          <w:rFonts w:ascii="Arial" w:hAnsi="Arial" w:cs="Arial"/>
          <w:color w:val="000000"/>
        </w:rPr>
        <w:t xml:space="preserve"> are listed below</w:t>
      </w:r>
      <w:r w:rsidRPr="00973E09">
        <w:rPr>
          <w:rFonts w:ascii="Arial" w:hAnsi="Arial" w:cs="Arial"/>
          <w:color w:val="000000"/>
        </w:rPr>
        <w:t>:</w:t>
      </w:r>
    </w:p>
    <w:p w14:paraId="45E1C183" w14:textId="77777777" w:rsidR="00803A2D" w:rsidRPr="00973E09" w:rsidRDefault="00803A2D" w:rsidP="00E13E61">
      <w:pPr>
        <w:widowControl w:val="0"/>
        <w:autoSpaceDE w:val="0"/>
        <w:autoSpaceDN w:val="0"/>
        <w:adjustRightInd w:val="0"/>
        <w:rPr>
          <w:rFonts w:ascii="Arial" w:hAnsi="Arial" w:cs="Arial"/>
          <w:color w:val="000000"/>
        </w:rPr>
      </w:pPr>
    </w:p>
    <w:p w14:paraId="00C999C8" w14:textId="77777777" w:rsidR="00803A2D" w:rsidRPr="00973E09" w:rsidRDefault="00803A2D" w:rsidP="00E13E61">
      <w:pPr>
        <w:widowControl w:val="0"/>
        <w:autoSpaceDE w:val="0"/>
        <w:autoSpaceDN w:val="0"/>
        <w:adjustRightInd w:val="0"/>
        <w:spacing w:after="240"/>
        <w:rPr>
          <w:rFonts w:ascii="Arial" w:hAnsi="Arial" w:cs="Arial"/>
        </w:rPr>
      </w:pPr>
      <w:r w:rsidRPr="00973E09">
        <w:rPr>
          <w:rFonts w:ascii="Arial" w:hAnsi="Arial" w:cs="Arial"/>
        </w:rPr>
        <w:t xml:space="preserve">Farrow LS, Smith TO, Ashcroft GP, </w:t>
      </w:r>
      <w:proofErr w:type="spellStart"/>
      <w:r w:rsidRPr="00973E09">
        <w:rPr>
          <w:rFonts w:ascii="Arial" w:hAnsi="Arial" w:cs="Arial"/>
        </w:rPr>
        <w:t>Myint</w:t>
      </w:r>
      <w:proofErr w:type="spellEnd"/>
      <w:r w:rsidRPr="00973E09">
        <w:rPr>
          <w:rFonts w:ascii="Arial" w:hAnsi="Arial" w:cs="Arial"/>
        </w:rPr>
        <w:t xml:space="preserve"> PK. A systematic review of tranexamic acid in hip fracture surgery. Br J </w:t>
      </w:r>
      <w:proofErr w:type="spellStart"/>
      <w:r w:rsidRPr="00973E09">
        <w:rPr>
          <w:rFonts w:ascii="Arial" w:hAnsi="Arial" w:cs="Arial"/>
        </w:rPr>
        <w:t>Clin</w:t>
      </w:r>
      <w:proofErr w:type="spellEnd"/>
      <w:r w:rsidRPr="00973E09">
        <w:rPr>
          <w:rFonts w:ascii="Arial" w:hAnsi="Arial" w:cs="Arial"/>
        </w:rPr>
        <w:t xml:space="preserve"> </w:t>
      </w:r>
      <w:proofErr w:type="spellStart"/>
      <w:r w:rsidRPr="00973E09">
        <w:rPr>
          <w:rFonts w:ascii="Arial" w:hAnsi="Arial" w:cs="Arial"/>
        </w:rPr>
        <w:t>Pharmacol</w:t>
      </w:r>
      <w:proofErr w:type="spellEnd"/>
      <w:r w:rsidRPr="00973E09">
        <w:rPr>
          <w:rFonts w:ascii="Arial" w:hAnsi="Arial" w:cs="Arial"/>
        </w:rPr>
        <w:t xml:space="preserve">. 2016 Dec;82(6):1458–70. </w:t>
      </w:r>
    </w:p>
    <w:p w14:paraId="511D434E" w14:textId="77777777" w:rsidR="00803A2D" w:rsidRPr="00973E09" w:rsidRDefault="00803A2D" w:rsidP="00E13E61">
      <w:pPr>
        <w:widowControl w:val="0"/>
        <w:autoSpaceDE w:val="0"/>
        <w:autoSpaceDN w:val="0"/>
        <w:adjustRightInd w:val="0"/>
        <w:spacing w:after="240"/>
        <w:rPr>
          <w:rFonts w:ascii="Arial" w:hAnsi="Arial" w:cs="Arial"/>
        </w:rPr>
      </w:pPr>
      <w:r w:rsidRPr="00973E09">
        <w:rPr>
          <w:rFonts w:ascii="Arial" w:hAnsi="Arial" w:cs="Arial"/>
        </w:rPr>
        <w:t xml:space="preserve">Baskaran D, Rahman S, </w:t>
      </w:r>
      <w:proofErr w:type="spellStart"/>
      <w:r w:rsidRPr="00973E09">
        <w:rPr>
          <w:rFonts w:ascii="Arial" w:hAnsi="Arial" w:cs="Arial"/>
        </w:rPr>
        <w:t>Salmasi</w:t>
      </w:r>
      <w:proofErr w:type="spellEnd"/>
      <w:r w:rsidRPr="00973E09">
        <w:rPr>
          <w:rFonts w:ascii="Arial" w:hAnsi="Arial" w:cs="Arial"/>
        </w:rPr>
        <w:t xml:space="preserve"> Y, </w:t>
      </w:r>
      <w:proofErr w:type="spellStart"/>
      <w:r w:rsidRPr="00973E09">
        <w:rPr>
          <w:rFonts w:ascii="Arial" w:hAnsi="Arial" w:cs="Arial"/>
        </w:rPr>
        <w:t>Froghi</w:t>
      </w:r>
      <w:proofErr w:type="spellEnd"/>
      <w:r w:rsidRPr="00973E09">
        <w:rPr>
          <w:rFonts w:ascii="Arial" w:hAnsi="Arial" w:cs="Arial"/>
        </w:rPr>
        <w:t xml:space="preserve"> S, Berber O, George M. Effect of tranexamic acid use on blood loss and thromboembolic risk in hip fracture surgery: systematic review and meta-analysis. HIP. 2017 Oct 4;:0–0. </w:t>
      </w:r>
    </w:p>
    <w:p w14:paraId="6AABE346" w14:textId="77777777" w:rsidR="004542AC" w:rsidRPr="00973E09" w:rsidRDefault="004542AC" w:rsidP="00E13E61">
      <w:pPr>
        <w:widowControl w:val="0"/>
        <w:autoSpaceDE w:val="0"/>
        <w:autoSpaceDN w:val="0"/>
        <w:adjustRightInd w:val="0"/>
        <w:rPr>
          <w:rFonts w:ascii="Arial" w:hAnsi="Arial" w:cs="Arial"/>
          <w:b/>
          <w:color w:val="000000"/>
          <w:u w:val="single"/>
        </w:rPr>
      </w:pPr>
      <w:r w:rsidRPr="00973E09">
        <w:rPr>
          <w:rFonts w:ascii="Arial" w:hAnsi="Arial" w:cs="Arial"/>
          <w:b/>
          <w:color w:val="000000"/>
          <w:u w:val="single"/>
        </w:rPr>
        <w:t xml:space="preserve">Standards </w:t>
      </w:r>
    </w:p>
    <w:p w14:paraId="5F3AD4DC" w14:textId="77777777" w:rsidR="004542AC" w:rsidRPr="00973E09" w:rsidRDefault="004542AC" w:rsidP="00E13E61">
      <w:pPr>
        <w:widowControl w:val="0"/>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1070"/>
        <w:gridCol w:w="6536"/>
        <w:gridCol w:w="910"/>
      </w:tblGrid>
      <w:tr w:rsidR="004542AC" w:rsidRPr="00973E09" w14:paraId="32C16060" w14:textId="77777777" w:rsidTr="004542AC">
        <w:tc>
          <w:tcPr>
            <w:tcW w:w="1003" w:type="dxa"/>
          </w:tcPr>
          <w:p w14:paraId="6F04F35B"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Number</w:t>
            </w:r>
          </w:p>
        </w:tc>
        <w:tc>
          <w:tcPr>
            <w:tcW w:w="6618" w:type="dxa"/>
          </w:tcPr>
          <w:p w14:paraId="2BF8D86E"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Standard</w:t>
            </w:r>
          </w:p>
        </w:tc>
        <w:tc>
          <w:tcPr>
            <w:tcW w:w="895" w:type="dxa"/>
          </w:tcPr>
          <w:p w14:paraId="0493BCDF"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Target</w:t>
            </w:r>
          </w:p>
        </w:tc>
      </w:tr>
      <w:tr w:rsidR="004542AC" w:rsidRPr="00973E09" w14:paraId="2962F6F0" w14:textId="77777777" w:rsidTr="004542AC">
        <w:tc>
          <w:tcPr>
            <w:tcW w:w="1003" w:type="dxa"/>
          </w:tcPr>
          <w:p w14:paraId="3F9B008B"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1</w:t>
            </w:r>
          </w:p>
        </w:tc>
        <w:tc>
          <w:tcPr>
            <w:tcW w:w="6618" w:type="dxa"/>
          </w:tcPr>
          <w:p w14:paraId="38709AC8" w14:textId="77777777" w:rsidR="004542AC" w:rsidRPr="00973E09" w:rsidRDefault="00D70DA9" w:rsidP="00D70DA9">
            <w:pPr>
              <w:widowControl w:val="0"/>
              <w:autoSpaceDE w:val="0"/>
              <w:autoSpaceDN w:val="0"/>
              <w:adjustRightInd w:val="0"/>
              <w:rPr>
                <w:rFonts w:ascii="Arial" w:hAnsi="Arial" w:cs="Arial"/>
                <w:color w:val="000000"/>
              </w:rPr>
            </w:pPr>
            <w:r w:rsidRPr="00973E09">
              <w:rPr>
                <w:rFonts w:ascii="Arial" w:hAnsi="Arial" w:cs="Arial"/>
                <w:color w:val="000000"/>
              </w:rPr>
              <w:t xml:space="preserve">All patients </w:t>
            </w:r>
            <w:r w:rsidR="004542AC" w:rsidRPr="00973E09">
              <w:rPr>
                <w:rFonts w:ascii="Arial" w:hAnsi="Arial" w:cs="Arial"/>
                <w:color w:val="000000"/>
              </w:rPr>
              <w:t>undergoing surgery for a fractured neck of femur should receive peri-operative tranexamic acid</w:t>
            </w:r>
            <w:r w:rsidRPr="00973E09">
              <w:rPr>
                <w:rFonts w:ascii="Arial" w:hAnsi="Arial" w:cs="Arial"/>
                <w:color w:val="000000"/>
              </w:rPr>
              <w:t xml:space="preserve"> unless contraindicated</w:t>
            </w:r>
          </w:p>
        </w:tc>
        <w:tc>
          <w:tcPr>
            <w:tcW w:w="895" w:type="dxa"/>
          </w:tcPr>
          <w:p w14:paraId="52EEACAB"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100%</w:t>
            </w:r>
          </w:p>
        </w:tc>
      </w:tr>
    </w:tbl>
    <w:p w14:paraId="54A80E5B" w14:textId="77777777" w:rsidR="004542AC" w:rsidRPr="00973E09" w:rsidRDefault="004542AC"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 </w:t>
      </w:r>
    </w:p>
    <w:p w14:paraId="4E3BA99A" w14:textId="77777777" w:rsidR="004542AC" w:rsidRPr="00973E09" w:rsidRDefault="004542AC" w:rsidP="00E13E61">
      <w:pPr>
        <w:widowControl w:val="0"/>
        <w:autoSpaceDE w:val="0"/>
        <w:autoSpaceDN w:val="0"/>
        <w:adjustRightInd w:val="0"/>
        <w:rPr>
          <w:rFonts w:ascii="Arial" w:hAnsi="Arial" w:cs="Arial"/>
          <w:b/>
          <w:color w:val="000000"/>
          <w:u w:val="single"/>
        </w:rPr>
      </w:pPr>
      <w:r w:rsidRPr="00973E09">
        <w:rPr>
          <w:rFonts w:ascii="Arial" w:hAnsi="Arial" w:cs="Arial"/>
          <w:b/>
          <w:color w:val="000000"/>
          <w:u w:val="single"/>
        </w:rPr>
        <w:t>Methodology</w:t>
      </w:r>
    </w:p>
    <w:p w14:paraId="61E64C0A" w14:textId="77777777" w:rsidR="004542AC" w:rsidRPr="00973E09" w:rsidRDefault="004542AC" w:rsidP="00E13E61">
      <w:pPr>
        <w:widowControl w:val="0"/>
        <w:autoSpaceDE w:val="0"/>
        <w:autoSpaceDN w:val="0"/>
        <w:adjustRightInd w:val="0"/>
        <w:rPr>
          <w:rFonts w:ascii="Arial" w:hAnsi="Arial" w:cs="Arial"/>
          <w:color w:val="000000"/>
        </w:rPr>
      </w:pPr>
    </w:p>
    <w:p w14:paraId="5B000654" w14:textId="77777777" w:rsidR="004542AC" w:rsidRPr="00973E09" w:rsidRDefault="004542AC" w:rsidP="00E13E61">
      <w:pPr>
        <w:widowControl w:val="0"/>
        <w:autoSpaceDE w:val="0"/>
        <w:autoSpaceDN w:val="0"/>
        <w:adjustRightInd w:val="0"/>
        <w:rPr>
          <w:rFonts w:ascii="Arial" w:hAnsi="Arial" w:cs="Arial"/>
          <w:b/>
          <w:color w:val="000000"/>
        </w:rPr>
      </w:pPr>
      <w:r w:rsidRPr="00973E09">
        <w:rPr>
          <w:rFonts w:ascii="Arial" w:hAnsi="Arial" w:cs="Arial"/>
          <w:b/>
          <w:color w:val="000000"/>
        </w:rPr>
        <w:t>Patient identification</w:t>
      </w:r>
    </w:p>
    <w:p w14:paraId="2AFFB788" w14:textId="77777777" w:rsidR="00803A2D" w:rsidRPr="00973E09" w:rsidRDefault="00803A2D" w:rsidP="00E13E61">
      <w:pPr>
        <w:widowControl w:val="0"/>
        <w:autoSpaceDE w:val="0"/>
        <w:autoSpaceDN w:val="0"/>
        <w:adjustRightInd w:val="0"/>
        <w:rPr>
          <w:rFonts w:ascii="Arial" w:hAnsi="Arial" w:cs="Arial"/>
          <w:color w:val="000000"/>
        </w:rPr>
      </w:pPr>
    </w:p>
    <w:p w14:paraId="2F30AF47" w14:textId="77777777" w:rsidR="00803A2D" w:rsidRPr="00973E09" w:rsidRDefault="00E13E61" w:rsidP="00E13E61">
      <w:pPr>
        <w:widowControl w:val="0"/>
        <w:autoSpaceDE w:val="0"/>
        <w:autoSpaceDN w:val="0"/>
        <w:adjustRightInd w:val="0"/>
        <w:rPr>
          <w:rFonts w:ascii="Arial" w:hAnsi="Arial" w:cs="Arial"/>
          <w:color w:val="000000"/>
        </w:rPr>
      </w:pPr>
      <w:r w:rsidRPr="00973E09">
        <w:rPr>
          <w:rFonts w:ascii="Arial" w:hAnsi="Arial" w:cs="Arial"/>
          <w:color w:val="000000"/>
        </w:rPr>
        <w:t>All patients who have a hip fracture, which will be managed with surgery during the audit period, will be identified from handover documents and/or theatre lists</w:t>
      </w:r>
      <w:r w:rsidR="00D70DA9" w:rsidRPr="00973E09">
        <w:rPr>
          <w:rFonts w:ascii="Arial" w:hAnsi="Arial" w:cs="Arial"/>
          <w:color w:val="000000"/>
        </w:rPr>
        <w:t xml:space="preserve"> and be included in this audit</w:t>
      </w:r>
      <w:r w:rsidRPr="00973E09">
        <w:rPr>
          <w:rFonts w:ascii="Arial" w:hAnsi="Arial" w:cs="Arial"/>
          <w:color w:val="000000"/>
        </w:rPr>
        <w:t xml:space="preserve">. </w:t>
      </w:r>
    </w:p>
    <w:p w14:paraId="79C10C95" w14:textId="77777777" w:rsidR="004542AC" w:rsidRPr="00973E09" w:rsidRDefault="004542AC" w:rsidP="00E13E61">
      <w:pPr>
        <w:widowControl w:val="0"/>
        <w:autoSpaceDE w:val="0"/>
        <w:autoSpaceDN w:val="0"/>
        <w:adjustRightInd w:val="0"/>
        <w:rPr>
          <w:rFonts w:ascii="Arial" w:hAnsi="Arial" w:cs="Arial"/>
          <w:color w:val="000000"/>
        </w:rPr>
      </w:pPr>
    </w:p>
    <w:p w14:paraId="7E0CAF81" w14:textId="77777777" w:rsidR="004542AC" w:rsidRPr="00973E09" w:rsidRDefault="004542AC" w:rsidP="00E13E61">
      <w:pPr>
        <w:widowControl w:val="0"/>
        <w:autoSpaceDE w:val="0"/>
        <w:autoSpaceDN w:val="0"/>
        <w:adjustRightInd w:val="0"/>
        <w:rPr>
          <w:rFonts w:ascii="Arial" w:hAnsi="Arial" w:cs="Arial"/>
          <w:b/>
          <w:color w:val="000000"/>
        </w:rPr>
      </w:pPr>
      <w:r w:rsidRPr="00973E09">
        <w:rPr>
          <w:rFonts w:ascii="Arial" w:hAnsi="Arial" w:cs="Arial"/>
          <w:b/>
          <w:color w:val="000000"/>
        </w:rPr>
        <w:t>Data collection</w:t>
      </w:r>
    </w:p>
    <w:p w14:paraId="47B5DFF9" w14:textId="77777777" w:rsidR="00803A2D" w:rsidRPr="00973E09" w:rsidRDefault="00803A2D" w:rsidP="00E13E61">
      <w:pPr>
        <w:widowControl w:val="0"/>
        <w:autoSpaceDE w:val="0"/>
        <w:autoSpaceDN w:val="0"/>
        <w:adjustRightInd w:val="0"/>
        <w:rPr>
          <w:rFonts w:ascii="Arial" w:hAnsi="Arial" w:cs="Arial"/>
          <w:b/>
          <w:color w:val="000000"/>
        </w:rPr>
      </w:pPr>
    </w:p>
    <w:p w14:paraId="275E33E4" w14:textId="5DA0FD95" w:rsidR="00803A2D" w:rsidRPr="00973E09" w:rsidRDefault="00E13E61" w:rsidP="00E13E61">
      <w:pPr>
        <w:rPr>
          <w:rFonts w:ascii="Arial" w:eastAsia="Times New Roman" w:hAnsi="Arial" w:cs="Arial"/>
        </w:rPr>
      </w:pPr>
      <w:r w:rsidRPr="00973E09">
        <w:rPr>
          <w:rFonts w:ascii="Arial" w:hAnsi="Arial" w:cs="Arial"/>
        </w:rPr>
        <w:t xml:space="preserve">Data will be collected using a standardised proforma (see separate document). This proforma will be retained, by the auditing </w:t>
      </w:r>
      <w:r w:rsidR="006E26B5">
        <w:rPr>
          <w:rFonts w:ascii="Arial" w:hAnsi="Arial" w:cs="Arial"/>
        </w:rPr>
        <w:t>clinician</w:t>
      </w:r>
      <w:r w:rsidRPr="00973E09">
        <w:rPr>
          <w:rFonts w:ascii="Arial" w:hAnsi="Arial" w:cs="Arial"/>
        </w:rPr>
        <w:t xml:space="preserve">, until the associated patient is at least 28 days post-surgery at which point outcome information relating to the post-operative period will be collected. </w:t>
      </w:r>
      <w:r w:rsidRPr="00973E09">
        <w:rPr>
          <w:rStyle w:val="Emphasis"/>
          <w:rFonts w:ascii="Arial" w:eastAsia="Times New Roman" w:hAnsi="Arial" w:cs="Arial"/>
          <w:bCs/>
          <w:i w:val="0"/>
          <w:iCs w:val="0"/>
        </w:rPr>
        <w:t>Anonymised</w:t>
      </w:r>
      <w:r w:rsidRPr="00973E09">
        <w:rPr>
          <w:rFonts w:ascii="Arial" w:eastAsia="Times New Roman" w:hAnsi="Arial" w:cs="Arial"/>
        </w:rPr>
        <w:t xml:space="preserve"> </w:t>
      </w:r>
      <w:r w:rsidRPr="00973E09">
        <w:rPr>
          <w:rFonts w:ascii="Arial" w:hAnsi="Arial" w:cs="Arial"/>
          <w:color w:val="000000"/>
        </w:rPr>
        <w:t>data will then be submitted for central analysis using an online form.</w:t>
      </w:r>
    </w:p>
    <w:p w14:paraId="63F982E6" w14:textId="77777777" w:rsidR="004542AC" w:rsidRPr="00973E09" w:rsidRDefault="004542AC" w:rsidP="00E13E61">
      <w:pPr>
        <w:widowControl w:val="0"/>
        <w:autoSpaceDE w:val="0"/>
        <w:autoSpaceDN w:val="0"/>
        <w:adjustRightInd w:val="0"/>
        <w:rPr>
          <w:rFonts w:ascii="Arial" w:hAnsi="Arial" w:cs="Arial"/>
          <w:color w:val="000000"/>
        </w:rPr>
      </w:pPr>
    </w:p>
    <w:p w14:paraId="761F9FEC" w14:textId="77777777" w:rsidR="004542AC" w:rsidRPr="00973E09" w:rsidRDefault="004542AC" w:rsidP="00E13E61">
      <w:pPr>
        <w:widowControl w:val="0"/>
        <w:autoSpaceDE w:val="0"/>
        <w:autoSpaceDN w:val="0"/>
        <w:adjustRightInd w:val="0"/>
        <w:rPr>
          <w:rFonts w:ascii="Arial" w:hAnsi="Arial" w:cs="Arial"/>
          <w:b/>
          <w:color w:val="000000"/>
        </w:rPr>
      </w:pPr>
      <w:r w:rsidRPr="00973E09">
        <w:rPr>
          <w:rFonts w:ascii="Arial" w:hAnsi="Arial" w:cs="Arial"/>
          <w:b/>
          <w:color w:val="000000"/>
        </w:rPr>
        <w:t>Time Period</w:t>
      </w:r>
    </w:p>
    <w:p w14:paraId="36470FEE" w14:textId="77777777" w:rsidR="00803A2D" w:rsidRPr="00973E09" w:rsidRDefault="00803A2D" w:rsidP="00E13E61">
      <w:pPr>
        <w:widowControl w:val="0"/>
        <w:autoSpaceDE w:val="0"/>
        <w:autoSpaceDN w:val="0"/>
        <w:adjustRightInd w:val="0"/>
        <w:rPr>
          <w:rFonts w:ascii="Arial" w:hAnsi="Arial" w:cs="Arial"/>
          <w:b/>
          <w:color w:val="000000"/>
        </w:rPr>
      </w:pPr>
    </w:p>
    <w:p w14:paraId="5F3AE637" w14:textId="57C4A363" w:rsidR="00803A2D" w:rsidRPr="00973E09" w:rsidRDefault="00D70DA9" w:rsidP="00E13E61">
      <w:pPr>
        <w:widowControl w:val="0"/>
        <w:autoSpaceDE w:val="0"/>
        <w:autoSpaceDN w:val="0"/>
        <w:adjustRightInd w:val="0"/>
        <w:rPr>
          <w:rFonts w:ascii="Arial" w:hAnsi="Arial" w:cs="Arial"/>
          <w:color w:val="000000"/>
        </w:rPr>
      </w:pPr>
      <w:r w:rsidRPr="00973E09">
        <w:rPr>
          <w:rFonts w:ascii="Arial" w:hAnsi="Arial" w:cs="Arial"/>
          <w:color w:val="000000"/>
        </w:rPr>
        <w:t xml:space="preserve">The audit period will be from </w:t>
      </w:r>
      <w:r w:rsidR="004F71AB">
        <w:rPr>
          <w:rFonts w:ascii="Arial" w:hAnsi="Arial" w:cs="Arial"/>
          <w:color w:val="000000"/>
        </w:rPr>
        <w:t>4</w:t>
      </w:r>
      <w:r w:rsidR="004F71AB" w:rsidRPr="004F71AB">
        <w:rPr>
          <w:rFonts w:ascii="Arial" w:hAnsi="Arial" w:cs="Arial"/>
          <w:color w:val="000000"/>
          <w:vertAlign w:val="superscript"/>
        </w:rPr>
        <w:t>th</w:t>
      </w:r>
      <w:r w:rsidR="004F71AB">
        <w:rPr>
          <w:rFonts w:ascii="Arial" w:hAnsi="Arial" w:cs="Arial"/>
          <w:color w:val="000000"/>
        </w:rPr>
        <w:t xml:space="preserve"> March – 18</w:t>
      </w:r>
      <w:r w:rsidR="004F71AB" w:rsidRPr="004F71AB">
        <w:rPr>
          <w:rFonts w:ascii="Arial" w:hAnsi="Arial" w:cs="Arial"/>
          <w:color w:val="000000"/>
          <w:vertAlign w:val="superscript"/>
        </w:rPr>
        <w:t>th</w:t>
      </w:r>
      <w:r w:rsidR="004F71AB">
        <w:rPr>
          <w:rFonts w:ascii="Arial" w:hAnsi="Arial" w:cs="Arial"/>
          <w:color w:val="000000"/>
        </w:rPr>
        <w:t xml:space="preserve"> March 2019</w:t>
      </w:r>
      <w:bookmarkStart w:id="0" w:name="_GoBack"/>
      <w:bookmarkEnd w:id="0"/>
      <w:r w:rsidRPr="00973E09">
        <w:rPr>
          <w:rFonts w:ascii="Arial" w:hAnsi="Arial" w:cs="Arial"/>
          <w:color w:val="000000"/>
        </w:rPr>
        <w:t>.</w:t>
      </w:r>
    </w:p>
    <w:p w14:paraId="719EB421" w14:textId="77777777" w:rsidR="004542AC" w:rsidRPr="00973E09" w:rsidRDefault="004542AC" w:rsidP="00E13E61">
      <w:pPr>
        <w:widowControl w:val="0"/>
        <w:autoSpaceDE w:val="0"/>
        <w:autoSpaceDN w:val="0"/>
        <w:adjustRightInd w:val="0"/>
        <w:rPr>
          <w:rFonts w:ascii="Arial" w:hAnsi="Arial" w:cs="Arial"/>
          <w:color w:val="000000"/>
        </w:rPr>
      </w:pPr>
    </w:p>
    <w:p w14:paraId="70714242" w14:textId="77777777" w:rsidR="00803A2D" w:rsidRPr="00973E09" w:rsidRDefault="004542AC" w:rsidP="00E13E61">
      <w:pPr>
        <w:widowControl w:val="0"/>
        <w:autoSpaceDE w:val="0"/>
        <w:autoSpaceDN w:val="0"/>
        <w:adjustRightInd w:val="0"/>
        <w:rPr>
          <w:rFonts w:ascii="Arial" w:hAnsi="Arial" w:cs="Arial"/>
          <w:b/>
          <w:color w:val="000000"/>
        </w:rPr>
      </w:pPr>
      <w:r w:rsidRPr="00973E09">
        <w:rPr>
          <w:rFonts w:ascii="Arial" w:hAnsi="Arial" w:cs="Arial"/>
          <w:b/>
          <w:color w:val="000000"/>
        </w:rPr>
        <w:t xml:space="preserve">Disseminating Results </w:t>
      </w:r>
    </w:p>
    <w:p w14:paraId="4407C9F3" w14:textId="77777777" w:rsidR="00803A2D" w:rsidRPr="00973E09" w:rsidRDefault="00803A2D" w:rsidP="00E13E61">
      <w:pPr>
        <w:widowControl w:val="0"/>
        <w:autoSpaceDE w:val="0"/>
        <w:autoSpaceDN w:val="0"/>
        <w:adjustRightInd w:val="0"/>
        <w:rPr>
          <w:rFonts w:ascii="Arial" w:hAnsi="Arial" w:cs="Arial"/>
          <w:color w:val="000000"/>
        </w:rPr>
      </w:pPr>
    </w:p>
    <w:p w14:paraId="79DB3F5F" w14:textId="77777777" w:rsidR="004542AC" w:rsidRPr="00973E09" w:rsidRDefault="00803A2D" w:rsidP="00E13E61">
      <w:pPr>
        <w:widowControl w:val="0"/>
        <w:autoSpaceDE w:val="0"/>
        <w:autoSpaceDN w:val="0"/>
        <w:adjustRightInd w:val="0"/>
        <w:spacing w:after="240"/>
        <w:rPr>
          <w:rFonts w:ascii="Arial" w:hAnsi="Arial" w:cs="Arial"/>
          <w:color w:val="000000"/>
        </w:rPr>
      </w:pPr>
      <w:r w:rsidRPr="00973E09">
        <w:rPr>
          <w:rFonts w:ascii="Arial" w:hAnsi="Arial" w:cs="Arial"/>
          <w:color w:val="000000"/>
        </w:rPr>
        <w:t xml:space="preserve">The results will be presented at the local </w:t>
      </w:r>
      <w:r w:rsidR="00E13E61" w:rsidRPr="00973E09">
        <w:rPr>
          <w:rFonts w:ascii="Arial" w:hAnsi="Arial" w:cs="Arial"/>
          <w:color w:val="000000"/>
        </w:rPr>
        <w:t>audit meeting of each department involved in the audit. Results may also be presented at local and national academic meetings or submitted for journal publication if appropriate.</w:t>
      </w:r>
    </w:p>
    <w:sectPr w:rsidR="004542AC" w:rsidRPr="00973E09" w:rsidSect="00803A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241E64"/>
    <w:multiLevelType w:val="hybridMultilevel"/>
    <w:tmpl w:val="59322580"/>
    <w:lvl w:ilvl="0" w:tplc="2D8A648E">
      <w:start w:val="1"/>
      <w:numFmt w:val="bullet"/>
      <w:lvlText w:val="•"/>
      <w:lvlJc w:val="left"/>
      <w:pPr>
        <w:tabs>
          <w:tab w:val="num" w:pos="720"/>
        </w:tabs>
        <w:ind w:left="720" w:hanging="360"/>
      </w:pPr>
      <w:rPr>
        <w:rFonts w:ascii="Arial" w:hAnsi="Arial" w:hint="default"/>
      </w:rPr>
    </w:lvl>
    <w:lvl w:ilvl="1" w:tplc="057846DC">
      <w:numFmt w:val="bullet"/>
      <w:lvlText w:val="–"/>
      <w:lvlJc w:val="left"/>
      <w:pPr>
        <w:tabs>
          <w:tab w:val="num" w:pos="1440"/>
        </w:tabs>
        <w:ind w:left="1440" w:hanging="360"/>
      </w:pPr>
      <w:rPr>
        <w:rFonts w:ascii="Arial" w:hAnsi="Arial" w:hint="default"/>
      </w:rPr>
    </w:lvl>
    <w:lvl w:ilvl="2" w:tplc="D06088F2" w:tentative="1">
      <w:start w:val="1"/>
      <w:numFmt w:val="bullet"/>
      <w:lvlText w:val="•"/>
      <w:lvlJc w:val="left"/>
      <w:pPr>
        <w:tabs>
          <w:tab w:val="num" w:pos="2160"/>
        </w:tabs>
        <w:ind w:left="2160" w:hanging="360"/>
      </w:pPr>
      <w:rPr>
        <w:rFonts w:ascii="Arial" w:hAnsi="Arial" w:hint="default"/>
      </w:rPr>
    </w:lvl>
    <w:lvl w:ilvl="3" w:tplc="2700826E" w:tentative="1">
      <w:start w:val="1"/>
      <w:numFmt w:val="bullet"/>
      <w:lvlText w:val="•"/>
      <w:lvlJc w:val="left"/>
      <w:pPr>
        <w:tabs>
          <w:tab w:val="num" w:pos="2880"/>
        </w:tabs>
        <w:ind w:left="2880" w:hanging="360"/>
      </w:pPr>
      <w:rPr>
        <w:rFonts w:ascii="Arial" w:hAnsi="Arial" w:hint="default"/>
      </w:rPr>
    </w:lvl>
    <w:lvl w:ilvl="4" w:tplc="5B403D70" w:tentative="1">
      <w:start w:val="1"/>
      <w:numFmt w:val="bullet"/>
      <w:lvlText w:val="•"/>
      <w:lvlJc w:val="left"/>
      <w:pPr>
        <w:tabs>
          <w:tab w:val="num" w:pos="3600"/>
        </w:tabs>
        <w:ind w:left="3600" w:hanging="360"/>
      </w:pPr>
      <w:rPr>
        <w:rFonts w:ascii="Arial" w:hAnsi="Arial" w:hint="default"/>
      </w:rPr>
    </w:lvl>
    <w:lvl w:ilvl="5" w:tplc="6FC8D244" w:tentative="1">
      <w:start w:val="1"/>
      <w:numFmt w:val="bullet"/>
      <w:lvlText w:val="•"/>
      <w:lvlJc w:val="left"/>
      <w:pPr>
        <w:tabs>
          <w:tab w:val="num" w:pos="4320"/>
        </w:tabs>
        <w:ind w:left="4320" w:hanging="360"/>
      </w:pPr>
      <w:rPr>
        <w:rFonts w:ascii="Arial" w:hAnsi="Arial" w:hint="default"/>
      </w:rPr>
    </w:lvl>
    <w:lvl w:ilvl="6" w:tplc="1AAA4FDE" w:tentative="1">
      <w:start w:val="1"/>
      <w:numFmt w:val="bullet"/>
      <w:lvlText w:val="•"/>
      <w:lvlJc w:val="left"/>
      <w:pPr>
        <w:tabs>
          <w:tab w:val="num" w:pos="5040"/>
        </w:tabs>
        <w:ind w:left="5040" w:hanging="360"/>
      </w:pPr>
      <w:rPr>
        <w:rFonts w:ascii="Arial" w:hAnsi="Arial" w:hint="default"/>
      </w:rPr>
    </w:lvl>
    <w:lvl w:ilvl="7" w:tplc="64B4A918" w:tentative="1">
      <w:start w:val="1"/>
      <w:numFmt w:val="bullet"/>
      <w:lvlText w:val="•"/>
      <w:lvlJc w:val="left"/>
      <w:pPr>
        <w:tabs>
          <w:tab w:val="num" w:pos="5760"/>
        </w:tabs>
        <w:ind w:left="5760" w:hanging="360"/>
      </w:pPr>
      <w:rPr>
        <w:rFonts w:ascii="Arial" w:hAnsi="Arial" w:hint="default"/>
      </w:rPr>
    </w:lvl>
    <w:lvl w:ilvl="8" w:tplc="93025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772E15"/>
    <w:multiLevelType w:val="hybridMultilevel"/>
    <w:tmpl w:val="08FC0CE4"/>
    <w:lvl w:ilvl="0" w:tplc="F80A55D4">
      <w:start w:val="1"/>
      <w:numFmt w:val="bullet"/>
      <w:lvlText w:val="•"/>
      <w:lvlJc w:val="left"/>
      <w:pPr>
        <w:tabs>
          <w:tab w:val="num" w:pos="720"/>
        </w:tabs>
        <w:ind w:left="720" w:hanging="360"/>
      </w:pPr>
      <w:rPr>
        <w:rFonts w:ascii="Arial" w:hAnsi="Arial" w:hint="default"/>
      </w:rPr>
    </w:lvl>
    <w:lvl w:ilvl="1" w:tplc="0F94E974" w:tentative="1">
      <w:start w:val="1"/>
      <w:numFmt w:val="bullet"/>
      <w:lvlText w:val="•"/>
      <w:lvlJc w:val="left"/>
      <w:pPr>
        <w:tabs>
          <w:tab w:val="num" w:pos="1440"/>
        </w:tabs>
        <w:ind w:left="1440" w:hanging="360"/>
      </w:pPr>
      <w:rPr>
        <w:rFonts w:ascii="Arial" w:hAnsi="Arial" w:hint="default"/>
      </w:rPr>
    </w:lvl>
    <w:lvl w:ilvl="2" w:tplc="B5306D54" w:tentative="1">
      <w:start w:val="1"/>
      <w:numFmt w:val="bullet"/>
      <w:lvlText w:val="•"/>
      <w:lvlJc w:val="left"/>
      <w:pPr>
        <w:tabs>
          <w:tab w:val="num" w:pos="2160"/>
        </w:tabs>
        <w:ind w:left="2160" w:hanging="360"/>
      </w:pPr>
      <w:rPr>
        <w:rFonts w:ascii="Arial" w:hAnsi="Arial" w:hint="default"/>
      </w:rPr>
    </w:lvl>
    <w:lvl w:ilvl="3" w:tplc="BABC45AA" w:tentative="1">
      <w:start w:val="1"/>
      <w:numFmt w:val="bullet"/>
      <w:lvlText w:val="•"/>
      <w:lvlJc w:val="left"/>
      <w:pPr>
        <w:tabs>
          <w:tab w:val="num" w:pos="2880"/>
        </w:tabs>
        <w:ind w:left="2880" w:hanging="360"/>
      </w:pPr>
      <w:rPr>
        <w:rFonts w:ascii="Arial" w:hAnsi="Arial" w:hint="default"/>
      </w:rPr>
    </w:lvl>
    <w:lvl w:ilvl="4" w:tplc="E2AA40B2" w:tentative="1">
      <w:start w:val="1"/>
      <w:numFmt w:val="bullet"/>
      <w:lvlText w:val="•"/>
      <w:lvlJc w:val="left"/>
      <w:pPr>
        <w:tabs>
          <w:tab w:val="num" w:pos="3600"/>
        </w:tabs>
        <w:ind w:left="3600" w:hanging="360"/>
      </w:pPr>
      <w:rPr>
        <w:rFonts w:ascii="Arial" w:hAnsi="Arial" w:hint="default"/>
      </w:rPr>
    </w:lvl>
    <w:lvl w:ilvl="5" w:tplc="5726AEA0" w:tentative="1">
      <w:start w:val="1"/>
      <w:numFmt w:val="bullet"/>
      <w:lvlText w:val="•"/>
      <w:lvlJc w:val="left"/>
      <w:pPr>
        <w:tabs>
          <w:tab w:val="num" w:pos="4320"/>
        </w:tabs>
        <w:ind w:left="4320" w:hanging="360"/>
      </w:pPr>
      <w:rPr>
        <w:rFonts w:ascii="Arial" w:hAnsi="Arial" w:hint="default"/>
      </w:rPr>
    </w:lvl>
    <w:lvl w:ilvl="6" w:tplc="DF7C4824" w:tentative="1">
      <w:start w:val="1"/>
      <w:numFmt w:val="bullet"/>
      <w:lvlText w:val="•"/>
      <w:lvlJc w:val="left"/>
      <w:pPr>
        <w:tabs>
          <w:tab w:val="num" w:pos="5040"/>
        </w:tabs>
        <w:ind w:left="5040" w:hanging="360"/>
      </w:pPr>
      <w:rPr>
        <w:rFonts w:ascii="Arial" w:hAnsi="Arial" w:hint="default"/>
      </w:rPr>
    </w:lvl>
    <w:lvl w:ilvl="7" w:tplc="1EE0C154" w:tentative="1">
      <w:start w:val="1"/>
      <w:numFmt w:val="bullet"/>
      <w:lvlText w:val="•"/>
      <w:lvlJc w:val="left"/>
      <w:pPr>
        <w:tabs>
          <w:tab w:val="num" w:pos="5760"/>
        </w:tabs>
        <w:ind w:left="5760" w:hanging="360"/>
      </w:pPr>
      <w:rPr>
        <w:rFonts w:ascii="Arial" w:hAnsi="Arial" w:hint="default"/>
      </w:rPr>
    </w:lvl>
    <w:lvl w:ilvl="8" w:tplc="428C50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AC"/>
    <w:rsid w:val="0003794D"/>
    <w:rsid w:val="004542AC"/>
    <w:rsid w:val="00462692"/>
    <w:rsid w:val="004F71AB"/>
    <w:rsid w:val="006E26B5"/>
    <w:rsid w:val="00803A2D"/>
    <w:rsid w:val="00973E09"/>
    <w:rsid w:val="00A32911"/>
    <w:rsid w:val="00A87C1F"/>
    <w:rsid w:val="00D70DA9"/>
    <w:rsid w:val="00E13E61"/>
    <w:rsid w:val="00FA5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C55A5"/>
  <w14:defaultImageDpi w14:val="300"/>
  <w15:docId w15:val="{CDB60276-7210-614B-9330-8CCFD8AD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2AC"/>
    <w:rPr>
      <w:rFonts w:ascii="Lucida Grande" w:hAnsi="Lucida Grande" w:cs="Lucida Grande"/>
      <w:sz w:val="18"/>
      <w:szCs w:val="18"/>
    </w:rPr>
  </w:style>
  <w:style w:type="table" w:styleId="TableGrid">
    <w:name w:val="Table Grid"/>
    <w:basedOn w:val="TableNormal"/>
    <w:uiPriority w:val="59"/>
    <w:rsid w:val="00454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3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9899">
      <w:bodyDiv w:val="1"/>
      <w:marLeft w:val="0"/>
      <w:marRight w:val="0"/>
      <w:marTop w:val="0"/>
      <w:marBottom w:val="0"/>
      <w:divBdr>
        <w:top w:val="none" w:sz="0" w:space="0" w:color="auto"/>
        <w:left w:val="none" w:sz="0" w:space="0" w:color="auto"/>
        <w:bottom w:val="none" w:sz="0" w:space="0" w:color="auto"/>
        <w:right w:val="none" w:sz="0" w:space="0" w:color="auto"/>
      </w:divBdr>
      <w:divsChild>
        <w:div w:id="1375615428">
          <w:marLeft w:val="547"/>
          <w:marRight w:val="0"/>
          <w:marTop w:val="144"/>
          <w:marBottom w:val="0"/>
          <w:divBdr>
            <w:top w:val="none" w:sz="0" w:space="0" w:color="auto"/>
            <w:left w:val="none" w:sz="0" w:space="0" w:color="auto"/>
            <w:bottom w:val="none" w:sz="0" w:space="0" w:color="auto"/>
            <w:right w:val="none" w:sz="0" w:space="0" w:color="auto"/>
          </w:divBdr>
        </w:div>
        <w:div w:id="1674338403">
          <w:marLeft w:val="1166"/>
          <w:marRight w:val="0"/>
          <w:marTop w:val="125"/>
          <w:marBottom w:val="0"/>
          <w:divBdr>
            <w:top w:val="none" w:sz="0" w:space="0" w:color="auto"/>
            <w:left w:val="none" w:sz="0" w:space="0" w:color="auto"/>
            <w:bottom w:val="none" w:sz="0" w:space="0" w:color="auto"/>
            <w:right w:val="none" w:sz="0" w:space="0" w:color="auto"/>
          </w:divBdr>
        </w:div>
        <w:div w:id="1023172307">
          <w:marLeft w:val="547"/>
          <w:marRight w:val="0"/>
          <w:marTop w:val="144"/>
          <w:marBottom w:val="0"/>
          <w:divBdr>
            <w:top w:val="none" w:sz="0" w:space="0" w:color="auto"/>
            <w:left w:val="none" w:sz="0" w:space="0" w:color="auto"/>
            <w:bottom w:val="none" w:sz="0" w:space="0" w:color="auto"/>
            <w:right w:val="none" w:sz="0" w:space="0" w:color="auto"/>
          </w:divBdr>
        </w:div>
        <w:div w:id="1792086017">
          <w:marLeft w:val="547"/>
          <w:marRight w:val="0"/>
          <w:marTop w:val="144"/>
          <w:marBottom w:val="0"/>
          <w:divBdr>
            <w:top w:val="none" w:sz="0" w:space="0" w:color="auto"/>
            <w:left w:val="none" w:sz="0" w:space="0" w:color="auto"/>
            <w:bottom w:val="none" w:sz="0" w:space="0" w:color="auto"/>
            <w:right w:val="none" w:sz="0" w:space="0" w:color="auto"/>
          </w:divBdr>
        </w:div>
      </w:divsChild>
    </w:div>
    <w:div w:id="309209239">
      <w:bodyDiv w:val="1"/>
      <w:marLeft w:val="0"/>
      <w:marRight w:val="0"/>
      <w:marTop w:val="0"/>
      <w:marBottom w:val="0"/>
      <w:divBdr>
        <w:top w:val="none" w:sz="0" w:space="0" w:color="auto"/>
        <w:left w:val="none" w:sz="0" w:space="0" w:color="auto"/>
        <w:bottom w:val="none" w:sz="0" w:space="0" w:color="auto"/>
        <w:right w:val="none" w:sz="0" w:space="0" w:color="auto"/>
      </w:divBdr>
    </w:div>
    <w:div w:id="557669761">
      <w:bodyDiv w:val="1"/>
      <w:marLeft w:val="0"/>
      <w:marRight w:val="0"/>
      <w:marTop w:val="0"/>
      <w:marBottom w:val="0"/>
      <w:divBdr>
        <w:top w:val="none" w:sz="0" w:space="0" w:color="auto"/>
        <w:left w:val="none" w:sz="0" w:space="0" w:color="auto"/>
        <w:bottom w:val="none" w:sz="0" w:space="0" w:color="auto"/>
        <w:right w:val="none" w:sz="0" w:space="0" w:color="auto"/>
      </w:divBdr>
      <w:divsChild>
        <w:div w:id="896624134">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Berg</dc:creator>
  <cp:keywords/>
  <dc:description/>
  <cp:lastModifiedBy>Microsoft Office User</cp:lastModifiedBy>
  <cp:revision>4</cp:revision>
  <dcterms:created xsi:type="dcterms:W3CDTF">2018-07-29T08:11:00Z</dcterms:created>
  <dcterms:modified xsi:type="dcterms:W3CDTF">2018-11-20T10:21:00Z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citations="1" publications="1"/&gt;&lt;/info&gt;PAPERS2_INFO_END</vt:lpwstr>
  </property>
</Properties>
</file>